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A43CE">
      <w:pPr>
        <w:spacing w:before="228" w:line="222" w:lineRule="auto"/>
        <w:ind w:left="275" w:firstLine="628" w:firstLineChars="200"/>
        <w:outlineLvl w:val="0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ascii="仿宋" w:hAnsi="仿宋" w:eastAsia="仿宋" w:cs="仿宋"/>
          <w:spacing w:val="-3"/>
          <w:sz w:val="32"/>
          <w:szCs w:val="32"/>
        </w:rPr>
        <w:t>“印迹乡村</w:t>
      </w:r>
      <w:r>
        <w:rPr>
          <w:rFonts w:ascii="仿宋" w:hAnsi="仿宋" w:eastAsia="仿宋" w:cs="仿宋"/>
          <w:spacing w:val="-3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·</w:t>
      </w:r>
      <w:r>
        <w:rPr>
          <w:rFonts w:ascii="仿宋" w:hAnsi="仿宋" w:eastAsia="仿宋" w:cs="仿宋"/>
          <w:spacing w:val="-12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共创计划”专项定制赛道设计需求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清单</w:t>
      </w:r>
    </w:p>
    <w:p w14:paraId="10614CA0">
      <w:pPr>
        <w:spacing w:line="231" w:lineRule="exact"/>
      </w:pPr>
    </w:p>
    <w:tbl>
      <w:tblPr>
        <w:tblStyle w:val="5"/>
        <w:tblW w:w="89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1863"/>
        <w:gridCol w:w="6212"/>
      </w:tblGrid>
      <w:tr w14:paraId="40421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5B8D86ED">
            <w:pPr>
              <w:spacing w:line="243" w:lineRule="auto"/>
              <w:rPr>
                <w:rFonts w:ascii="Arial"/>
                <w:sz w:val="21"/>
              </w:rPr>
            </w:pPr>
          </w:p>
          <w:p w14:paraId="6C2AFB58">
            <w:pPr>
              <w:spacing w:line="243" w:lineRule="auto"/>
              <w:rPr>
                <w:rFonts w:ascii="Arial"/>
                <w:sz w:val="21"/>
              </w:rPr>
            </w:pPr>
          </w:p>
          <w:p w14:paraId="44CCE4B7">
            <w:pPr>
              <w:spacing w:line="244" w:lineRule="auto"/>
              <w:rPr>
                <w:rFonts w:ascii="Arial"/>
                <w:sz w:val="21"/>
              </w:rPr>
            </w:pPr>
          </w:p>
          <w:p w14:paraId="043F385E">
            <w:pPr>
              <w:spacing w:line="244" w:lineRule="auto"/>
              <w:rPr>
                <w:rFonts w:ascii="Arial"/>
                <w:sz w:val="21"/>
              </w:rPr>
            </w:pPr>
          </w:p>
          <w:p w14:paraId="2D0171B4">
            <w:pPr>
              <w:spacing w:line="244" w:lineRule="auto"/>
              <w:rPr>
                <w:rFonts w:ascii="Arial"/>
                <w:sz w:val="21"/>
              </w:rPr>
            </w:pPr>
          </w:p>
          <w:p w14:paraId="754F1F2B">
            <w:pPr>
              <w:spacing w:line="244" w:lineRule="auto"/>
              <w:rPr>
                <w:rFonts w:ascii="Arial"/>
                <w:sz w:val="21"/>
              </w:rPr>
            </w:pPr>
          </w:p>
          <w:p w14:paraId="4476E938">
            <w:pPr>
              <w:spacing w:line="244" w:lineRule="auto"/>
              <w:rPr>
                <w:rFonts w:ascii="Arial"/>
                <w:sz w:val="21"/>
              </w:rPr>
            </w:pPr>
          </w:p>
          <w:p w14:paraId="628196B2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714A4536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22E15F1C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640D1E9E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50FCBAA6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6688F905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525B094A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32879382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42BADDF5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7ABE22D2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61E5C95E">
            <w:pPr>
              <w:pStyle w:val="6"/>
              <w:spacing w:before="84" w:line="230" w:lineRule="auto"/>
              <w:ind w:left="178" w:right="173"/>
            </w:pPr>
            <w:r>
              <w:rPr>
                <w:b/>
                <w:bCs/>
                <w:spacing w:val="-8"/>
              </w:rPr>
              <w:t>基础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信息</w:t>
            </w:r>
          </w:p>
        </w:tc>
        <w:tc>
          <w:tcPr>
            <w:tcW w:w="1863" w:type="dxa"/>
            <w:vAlign w:val="top"/>
          </w:tcPr>
          <w:p w14:paraId="0A1FEECF">
            <w:pPr>
              <w:pStyle w:val="6"/>
              <w:spacing w:before="115" w:line="219" w:lineRule="auto"/>
              <w:ind w:left="4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6212" w:type="dxa"/>
            <w:vAlign w:val="top"/>
          </w:tcPr>
          <w:p w14:paraId="1ABC5F11">
            <w:pPr>
              <w:pStyle w:val="6"/>
              <w:spacing w:before="105" w:line="219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行政村□农业合作社□文旅企业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56B8CE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4B0519BB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vAlign w:val="top"/>
          </w:tcPr>
          <w:p w14:paraId="5330826A">
            <w:pPr>
              <w:pStyle w:val="6"/>
              <w:spacing w:before="100" w:line="220" w:lineRule="auto"/>
              <w:ind w:left="7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6212" w:type="dxa"/>
            <w:vAlign w:val="top"/>
          </w:tcPr>
          <w:p w14:paraId="435F6CFF">
            <w:pPr>
              <w:pStyle w:val="6"/>
              <w:spacing w:before="90" w:line="213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eastAsia="zh-CN"/>
              </w:rPr>
              <w:t>金华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eastAsia="zh-CN"/>
              </w:rPr>
              <w:t>磐安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县</w:t>
            </w:r>
            <w:r>
              <w:rPr>
                <w:rFonts w:hint="eastAsia" w:ascii="仿宋_GB2312" w:hAnsi="仿宋_GB2312" w:eastAsia="仿宋_GB2312" w:cs="仿宋_GB2312"/>
                <w:spacing w:val="-69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eastAsia="zh-CN"/>
              </w:rPr>
              <w:t>安文街道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乡</w:t>
            </w:r>
            <w:r>
              <w:rPr>
                <w:rFonts w:hint="eastAsia" w:ascii="仿宋_GB2312" w:hAnsi="仿宋_GB2312" w:eastAsia="仿宋_GB2312" w:cs="仿宋_GB2312"/>
                <w:spacing w:val="-6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/</w:t>
            </w:r>
            <w:r>
              <w:rPr>
                <w:rFonts w:hint="eastAsia" w:ascii="仿宋_GB2312" w:hAnsi="仿宋_GB2312" w:eastAsia="仿宋_GB2312" w:cs="仿宋_GB2312"/>
                <w:spacing w:val="-59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镇</w:t>
            </w: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3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30"/>
                <w:sz w:val="24"/>
                <w:szCs w:val="24"/>
                <w:u w:val="single" w:color="auto"/>
                <w:lang w:eastAsia="zh-CN"/>
              </w:rPr>
              <w:t>墨林</w:t>
            </w:r>
            <w:r>
              <w:rPr>
                <w:rFonts w:hint="eastAsia" w:ascii="仿宋_GB2312" w:hAnsi="仿宋_GB2312" w:eastAsia="仿宋_GB2312" w:cs="仿宋_GB2312"/>
                <w:spacing w:val="-57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村</w:t>
            </w:r>
          </w:p>
        </w:tc>
      </w:tr>
      <w:tr w14:paraId="4FCAA2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68A5B030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vAlign w:val="top"/>
          </w:tcPr>
          <w:p w14:paraId="48F43466">
            <w:pPr>
              <w:pStyle w:val="6"/>
              <w:spacing w:before="99" w:line="219" w:lineRule="auto"/>
              <w:ind w:left="4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项目管理人</w:t>
            </w:r>
          </w:p>
        </w:tc>
        <w:tc>
          <w:tcPr>
            <w:tcW w:w="6212" w:type="dxa"/>
            <w:vAlign w:val="top"/>
          </w:tcPr>
          <w:p w14:paraId="2C38383A">
            <w:pPr>
              <w:pStyle w:val="6"/>
              <w:spacing w:before="110" w:line="208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position w:val="1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eastAsia="zh-CN"/>
              </w:rPr>
              <w:t>郑浩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66"/>
                <w:position w:val="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职务：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eastAsia="zh-CN"/>
              </w:rPr>
              <w:t>墨林村党支部书记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 xml:space="preserve"> 联系电话：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val="en-US" w:eastAsia="zh-CN"/>
              </w:rPr>
              <w:t xml:space="preserve">15058666270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</w:p>
        </w:tc>
      </w:tr>
      <w:tr w14:paraId="7F536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07BAF5A6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vAlign w:val="top"/>
          </w:tcPr>
          <w:p w14:paraId="2217FAE8">
            <w:pPr>
              <w:spacing w:line="249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15C76AC5">
            <w:pPr>
              <w:pStyle w:val="6"/>
              <w:spacing w:before="84" w:line="219" w:lineRule="auto"/>
              <w:ind w:left="571"/>
              <w:rPr>
                <w:b/>
                <w:bCs/>
                <w:spacing w:val="5"/>
                <w:sz w:val="24"/>
                <w:szCs w:val="24"/>
              </w:rPr>
            </w:pPr>
          </w:p>
          <w:p w14:paraId="3031B83C">
            <w:pPr>
              <w:pStyle w:val="6"/>
              <w:spacing w:before="84" w:line="219" w:lineRule="auto"/>
              <w:ind w:left="571"/>
              <w:rPr>
                <w:b/>
                <w:bCs/>
                <w:spacing w:val="5"/>
                <w:sz w:val="24"/>
                <w:szCs w:val="24"/>
              </w:rPr>
            </w:pPr>
          </w:p>
          <w:p w14:paraId="5B408396">
            <w:pPr>
              <w:pStyle w:val="6"/>
              <w:spacing w:before="84" w:line="219" w:lineRule="auto"/>
              <w:ind w:left="571"/>
              <w:rPr>
                <w:b/>
                <w:bCs/>
                <w:spacing w:val="5"/>
                <w:sz w:val="24"/>
                <w:szCs w:val="24"/>
              </w:rPr>
            </w:pPr>
          </w:p>
          <w:p w14:paraId="04695F53">
            <w:pPr>
              <w:pStyle w:val="6"/>
              <w:spacing w:before="84" w:line="219" w:lineRule="auto"/>
              <w:ind w:left="571"/>
              <w:rPr>
                <w:b/>
                <w:bCs/>
                <w:spacing w:val="5"/>
                <w:sz w:val="24"/>
                <w:szCs w:val="24"/>
              </w:rPr>
            </w:pPr>
          </w:p>
          <w:p w14:paraId="48C42514">
            <w:pPr>
              <w:pStyle w:val="6"/>
              <w:spacing w:before="84" w:line="219" w:lineRule="auto"/>
              <w:ind w:left="571"/>
              <w:rPr>
                <w:b/>
                <w:bCs/>
                <w:spacing w:val="5"/>
                <w:sz w:val="24"/>
                <w:szCs w:val="24"/>
              </w:rPr>
            </w:pPr>
          </w:p>
          <w:p w14:paraId="53F2836D">
            <w:pPr>
              <w:pStyle w:val="6"/>
              <w:spacing w:before="84" w:line="219" w:lineRule="auto"/>
              <w:ind w:left="571"/>
              <w:rPr>
                <w:b/>
                <w:bCs/>
                <w:spacing w:val="5"/>
                <w:sz w:val="24"/>
                <w:szCs w:val="24"/>
              </w:rPr>
            </w:pPr>
          </w:p>
          <w:p w14:paraId="50485E1C">
            <w:pPr>
              <w:pStyle w:val="6"/>
              <w:spacing w:before="84" w:line="219" w:lineRule="auto"/>
              <w:ind w:left="571"/>
              <w:rPr>
                <w:b/>
                <w:bCs/>
                <w:spacing w:val="5"/>
                <w:sz w:val="24"/>
                <w:szCs w:val="24"/>
              </w:rPr>
            </w:pPr>
          </w:p>
          <w:p w14:paraId="65F90B07">
            <w:pPr>
              <w:pStyle w:val="6"/>
              <w:spacing w:before="84" w:line="219" w:lineRule="auto"/>
              <w:ind w:left="571"/>
              <w:rPr>
                <w:b/>
                <w:bCs/>
                <w:spacing w:val="5"/>
                <w:sz w:val="24"/>
                <w:szCs w:val="24"/>
              </w:rPr>
            </w:pPr>
          </w:p>
          <w:p w14:paraId="63215FF2">
            <w:pPr>
              <w:pStyle w:val="6"/>
              <w:spacing w:before="84" w:line="219" w:lineRule="auto"/>
              <w:ind w:left="571"/>
              <w:rPr>
                <w:b/>
                <w:bCs/>
                <w:spacing w:val="5"/>
                <w:sz w:val="24"/>
                <w:szCs w:val="24"/>
              </w:rPr>
            </w:pPr>
          </w:p>
          <w:p w14:paraId="077EE272">
            <w:pPr>
              <w:pStyle w:val="6"/>
              <w:spacing w:before="84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项目介绍</w:t>
            </w:r>
          </w:p>
        </w:tc>
        <w:tc>
          <w:tcPr>
            <w:tcW w:w="6212" w:type="dxa"/>
            <w:vAlign w:val="top"/>
          </w:tcPr>
          <w:p w14:paraId="3F821806">
            <w:pPr>
              <w:pStyle w:val="6"/>
              <w:spacing w:before="146" w:line="250" w:lineRule="auto"/>
              <w:ind w:left="104" w:firstLine="468" w:firstLineChars="200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eastAsia="zh-CN"/>
              </w:rPr>
              <w:t>墨林村位于金华市磐安县安文街道东南部，距磐安县城10公里，已有800年历史。交通便利，位于东仙线和磐新线两条交通主干道交汇处，距高铁站约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val="en-US" w:eastAsia="zh-CN"/>
              </w:rPr>
              <w:t>15分钟车程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eastAsia="zh-CN"/>
              </w:rPr>
              <w:t>。村庄面积18467亩（12.3平方公里），其中林地16566亩，森林面积16544亩（重点公益林15278亩），耕地786亩，森林覆盖率达89.59%。全村下辖12个村民小组，41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eastAsia="zh-CN"/>
              </w:rPr>
              <w:t>户11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val="en-US" w:eastAsia="zh-CN"/>
              </w:rPr>
              <w:t>87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eastAsia="zh-CN"/>
              </w:rPr>
              <w:t>人，常住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val="en-US" w:eastAsia="zh-CN"/>
              </w:rPr>
              <w:t>536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eastAsia="zh-CN"/>
              </w:rPr>
              <w:t>人，被列入第五批中国传统村落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eastAsia="zh-CN"/>
              </w:rPr>
              <w:t>获评“浙江省3A级旅游景区村”“浙江省小城镇整治省级样板”“浙江省历史文化村落保护重点村”“浙江省红色根脉强基示范村”“省级返乡入乡合作创业优秀行政村培育对象”。</w:t>
            </w:r>
          </w:p>
          <w:p w14:paraId="6BDAB7DB">
            <w:pPr>
              <w:pStyle w:val="6"/>
              <w:spacing w:before="146" w:line="250" w:lineRule="auto"/>
              <w:ind w:left="104" w:firstLine="468" w:firstLineChars="200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eastAsia="zh-CN"/>
              </w:rPr>
              <w:t>村内现存有明清时期三合院、四合院9座，古民居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val="en-US" w:eastAsia="zh-CN"/>
              </w:rPr>
              <w:t>183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eastAsia="zh-CN"/>
              </w:rPr>
              <w:t>间及县级文保点百年永德廊桥。近年来，墨林村坚持深化新时代“千万工程”，积极做好古村落保护修缮和活化利用两篇文章，创设“房租减免、收益分成，共同投入、合伙创业”的“乡村合伙人”模式，吸引5名网红主播、34名农创客落地沉浸式剧场、老屋咖啡、茶餐厅等12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eastAsia="zh-CN"/>
              </w:rPr>
              <w:t>时尚新业态，带动30多名村民实现家门口就业，吸引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eastAsia="zh-CN"/>
              </w:rPr>
              <w:t>千多名学生和团队开展研学活动，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eastAsia="zh-CN"/>
              </w:rPr>
              <w:t>年游客数量突破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eastAsia="zh-CN"/>
              </w:rPr>
              <w:t>余万人次。打造“墨林共富工坊”直营店，联合“我们的幸福计划”“安游礼”等区域公共品牌，推动2024年村集体经济总收入达140.4万元、经营性收入65.7万元。聚焦“做强流量入口、延伸产业链条、创新利益联结”三大方向，全力打造片区文旅产业链，2025年成功入选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val="en-US" w:eastAsia="zh-CN"/>
              </w:rPr>
              <w:t>首批（山区海岛县）省级重点村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eastAsia="zh-CN"/>
              </w:rPr>
              <w:t>，谋划13个“溪花墨林”片区组团共富项目，带动片区内10个村平均集体经济总收入突破百万。</w:t>
            </w:r>
          </w:p>
        </w:tc>
      </w:tr>
      <w:tr w14:paraId="3A90CD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73DF33EE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vAlign w:val="top"/>
          </w:tcPr>
          <w:p w14:paraId="147AB508">
            <w:pPr>
              <w:spacing w:line="468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0F2D0351">
            <w:pPr>
              <w:pStyle w:val="6"/>
              <w:spacing w:before="85" w:line="219" w:lineRule="auto"/>
              <w:ind w:left="310"/>
              <w:rPr>
                <w:b/>
                <w:bCs/>
                <w:spacing w:val="2"/>
                <w:sz w:val="24"/>
                <w:szCs w:val="24"/>
              </w:rPr>
            </w:pPr>
          </w:p>
          <w:p w14:paraId="70AF2B6B">
            <w:pPr>
              <w:pStyle w:val="6"/>
              <w:spacing w:before="85" w:line="219" w:lineRule="auto"/>
              <w:ind w:left="310"/>
              <w:rPr>
                <w:b/>
                <w:bCs/>
                <w:spacing w:val="2"/>
                <w:sz w:val="24"/>
                <w:szCs w:val="24"/>
              </w:rPr>
            </w:pPr>
          </w:p>
          <w:p w14:paraId="485C4500">
            <w:pPr>
              <w:pStyle w:val="6"/>
              <w:spacing w:before="85" w:line="219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存在主要问题</w:t>
            </w:r>
          </w:p>
        </w:tc>
        <w:tc>
          <w:tcPr>
            <w:tcW w:w="6212" w:type="dxa"/>
            <w:vAlign w:val="top"/>
          </w:tcPr>
          <w:p w14:paraId="0E7E835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2" w:lineRule="auto"/>
              <w:ind w:left="102" w:right="28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1.村内现闲置农房资源较多、开发利用不足，亟需进一步改造提升、招商引资，通过落地运营可玩性强、体验感高的时尚业态来丰富村庄文旅产业。</w:t>
            </w:r>
          </w:p>
          <w:p w14:paraId="6DACD5A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2" w:lineRule="auto"/>
              <w:ind w:left="102" w:right="28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2.墨林村主要经济收入来源以香榧、覆盆子种植为主，但仍停留在初步的种植、生产、加工销售阶段，未能有效利用电商途径扩大销售市场，同时还需要进一步开发深加工产品或周边文创产品、文旅体验项目来提高产业附加值。</w:t>
            </w:r>
          </w:p>
          <w:p w14:paraId="15E86BD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2" w:lineRule="auto"/>
              <w:ind w:left="102" w:right="28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3.村内老村区域风貌单一、景观节点较少，需要在古村入口、金墩山等多个区域进行景观节点打造，提升老村风貌。</w:t>
            </w:r>
          </w:p>
        </w:tc>
      </w:tr>
      <w:tr w14:paraId="3A91C0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4017E8EB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vAlign w:val="top"/>
          </w:tcPr>
          <w:p w14:paraId="1801628E">
            <w:pPr>
              <w:spacing w:line="258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33EC7135">
            <w:pPr>
              <w:pStyle w:val="6"/>
              <w:spacing w:before="85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参考资料</w:t>
            </w:r>
          </w:p>
        </w:tc>
        <w:tc>
          <w:tcPr>
            <w:tcW w:w="6212" w:type="dxa"/>
            <w:vAlign w:val="top"/>
          </w:tcPr>
          <w:p w14:paraId="7EAE33F1">
            <w:pPr>
              <w:pStyle w:val="6"/>
              <w:spacing w:before="175" w:line="251" w:lineRule="auto"/>
              <w:ind w:left="104" w:right="68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有(包括：□地形图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老照片□老</w:t>
            </w:r>
            <w:r>
              <w:rPr>
                <w:rFonts w:hint="eastAsia" w:ascii="仿宋_GB2312" w:hAnsi="仿宋_GB2312" w:eastAsia="仿宋_GB2312" w:cs="仿宋_GB2312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图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纸 )</w:t>
            </w:r>
            <w:r>
              <w:rPr>
                <w:rFonts w:hint="eastAsia" w:ascii="仿宋_GB2312" w:hAnsi="仿宋_GB2312" w:eastAsia="仿宋_GB2312" w:cs="仿宋_GB2312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无</w:t>
            </w:r>
          </w:p>
        </w:tc>
      </w:tr>
      <w:tr w14:paraId="467D2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0098D108">
            <w:pPr>
              <w:spacing w:line="257" w:lineRule="auto"/>
              <w:rPr>
                <w:rFonts w:ascii="Arial"/>
                <w:sz w:val="21"/>
              </w:rPr>
            </w:pPr>
          </w:p>
          <w:p w14:paraId="2726A1F1">
            <w:pPr>
              <w:spacing w:line="257" w:lineRule="auto"/>
              <w:rPr>
                <w:rFonts w:ascii="Arial"/>
                <w:sz w:val="21"/>
              </w:rPr>
            </w:pPr>
          </w:p>
          <w:p w14:paraId="0A229E7D">
            <w:pPr>
              <w:spacing w:line="257" w:lineRule="auto"/>
              <w:rPr>
                <w:rFonts w:ascii="Arial"/>
                <w:sz w:val="21"/>
              </w:rPr>
            </w:pPr>
          </w:p>
          <w:p w14:paraId="5A17A6CA">
            <w:pPr>
              <w:spacing w:line="258" w:lineRule="auto"/>
              <w:rPr>
                <w:rFonts w:ascii="Arial"/>
                <w:sz w:val="21"/>
              </w:rPr>
            </w:pPr>
          </w:p>
          <w:p w14:paraId="1A9BE314">
            <w:pPr>
              <w:spacing w:line="258" w:lineRule="auto"/>
              <w:rPr>
                <w:rFonts w:ascii="Arial"/>
                <w:sz w:val="21"/>
              </w:rPr>
            </w:pPr>
          </w:p>
          <w:p w14:paraId="7C4AE1C4">
            <w:pPr>
              <w:spacing w:line="258" w:lineRule="auto"/>
              <w:rPr>
                <w:rFonts w:ascii="Arial"/>
                <w:sz w:val="21"/>
              </w:rPr>
            </w:pPr>
          </w:p>
          <w:p w14:paraId="07615935">
            <w:pPr>
              <w:spacing w:line="258" w:lineRule="auto"/>
              <w:rPr>
                <w:rFonts w:ascii="Arial"/>
                <w:sz w:val="21"/>
              </w:rPr>
            </w:pPr>
          </w:p>
          <w:p w14:paraId="1DA98B1B">
            <w:pPr>
              <w:spacing w:line="258" w:lineRule="auto"/>
              <w:rPr>
                <w:rFonts w:ascii="Arial"/>
                <w:sz w:val="21"/>
              </w:rPr>
            </w:pPr>
          </w:p>
          <w:p w14:paraId="249EF458">
            <w:pPr>
              <w:pStyle w:val="6"/>
              <w:spacing w:before="84" w:line="221" w:lineRule="auto"/>
              <w:ind w:left="178"/>
            </w:pPr>
            <w:r>
              <w:rPr>
                <w:b/>
                <w:bCs/>
                <w:spacing w:val="-7"/>
              </w:rPr>
              <w:t>设计</w:t>
            </w:r>
          </w:p>
          <w:p w14:paraId="0893F7A4">
            <w:pPr>
              <w:pStyle w:val="6"/>
              <w:spacing w:before="48" w:line="220" w:lineRule="auto"/>
              <w:ind w:left="178"/>
            </w:pPr>
            <w:r>
              <w:rPr>
                <w:b/>
                <w:bCs/>
                <w:spacing w:val="-1"/>
              </w:rPr>
              <w:t>需求</w:t>
            </w:r>
          </w:p>
        </w:tc>
        <w:tc>
          <w:tcPr>
            <w:tcW w:w="1863" w:type="dxa"/>
            <w:vAlign w:val="top"/>
          </w:tcPr>
          <w:p w14:paraId="05D24B29">
            <w:pPr>
              <w:pStyle w:val="6"/>
              <w:spacing w:before="130" w:line="219" w:lineRule="auto"/>
              <w:ind w:left="571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4"/>
                <w:sz w:val="24"/>
                <w:szCs w:val="24"/>
              </w:rPr>
              <w:t>需求类型</w:t>
            </w:r>
          </w:p>
        </w:tc>
        <w:tc>
          <w:tcPr>
            <w:tcW w:w="6212" w:type="dxa"/>
            <w:vAlign w:val="top"/>
          </w:tcPr>
          <w:p w14:paraId="4FE566EC">
            <w:pPr>
              <w:pStyle w:val="6"/>
              <w:spacing w:before="131" w:line="220" w:lineRule="auto"/>
              <w:ind w:left="104"/>
              <w:jc w:val="center"/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改造提升</w:t>
            </w:r>
          </w:p>
        </w:tc>
      </w:tr>
      <w:tr w14:paraId="57380A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76C699D8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vAlign w:val="top"/>
          </w:tcPr>
          <w:p w14:paraId="2A8D54C1">
            <w:pPr>
              <w:pStyle w:val="6"/>
              <w:spacing w:before="322" w:line="221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4"/>
                <w:sz w:val="24"/>
                <w:szCs w:val="24"/>
              </w:rPr>
              <w:t>整体规划</w:t>
            </w:r>
          </w:p>
        </w:tc>
        <w:tc>
          <w:tcPr>
            <w:tcW w:w="6212" w:type="dxa"/>
            <w:vAlign w:val="center"/>
          </w:tcPr>
          <w:p w14:paraId="19A24447">
            <w:pPr>
              <w:pStyle w:val="6"/>
              <w:spacing w:before="138" w:line="253" w:lineRule="auto"/>
              <w:ind w:right="41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</w:tr>
      <w:tr w14:paraId="4BB487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41B70B59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vAlign w:val="top"/>
          </w:tcPr>
          <w:p w14:paraId="48AF5129">
            <w:pPr>
              <w:spacing w:line="244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358202F2">
            <w:pPr>
              <w:pStyle w:val="6"/>
              <w:spacing w:before="85" w:line="220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人居环境提升</w:t>
            </w:r>
          </w:p>
        </w:tc>
        <w:tc>
          <w:tcPr>
            <w:tcW w:w="6212" w:type="dxa"/>
            <w:vAlign w:val="top"/>
          </w:tcPr>
          <w:p w14:paraId="1990CB5D">
            <w:pPr>
              <w:pStyle w:val="6"/>
              <w:spacing w:before="159" w:line="250" w:lineRule="auto"/>
              <w:ind w:left="104" w:right="28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对村内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老村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区域的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厅门塘、荷花塘、妇女塘等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5口水塘的水质提升、绿化提升等综合治理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提出低成本、易维护的技术解决方案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221518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26128446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vAlign w:val="top"/>
          </w:tcPr>
          <w:p w14:paraId="5C0542CB">
            <w:pPr>
              <w:pStyle w:val="6"/>
              <w:spacing w:before="318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建筑改造</w:t>
            </w:r>
          </w:p>
        </w:tc>
        <w:tc>
          <w:tcPr>
            <w:tcW w:w="6212" w:type="dxa"/>
            <w:vAlign w:val="top"/>
          </w:tcPr>
          <w:p w14:paraId="7336A831">
            <w:pPr>
              <w:pStyle w:val="6"/>
              <w:spacing w:before="166" w:line="243" w:lineRule="auto"/>
              <w:ind w:left="104" w:right="291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对塘口下、民兵室、四方台门等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2座闲置的古民居院落进行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改造提升，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并招引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落地运营可玩性强、体验感高的时尚业态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60FCCE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1FD12180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vAlign w:val="top"/>
          </w:tcPr>
          <w:p w14:paraId="546220CA">
            <w:pPr>
              <w:spacing w:line="242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18C6A017">
            <w:pPr>
              <w:pStyle w:val="6"/>
              <w:spacing w:before="84" w:line="219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公共空间设计</w:t>
            </w:r>
          </w:p>
        </w:tc>
        <w:tc>
          <w:tcPr>
            <w:tcW w:w="6212" w:type="dxa"/>
            <w:vAlign w:val="top"/>
          </w:tcPr>
          <w:p w14:paraId="4BC165BC">
            <w:pPr>
              <w:pStyle w:val="6"/>
              <w:spacing w:before="165" w:line="247" w:lineRule="auto"/>
              <w:ind w:left="104" w:firstLine="19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将村口、</w:t>
            </w: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  <w:lang w:eastAsia="zh-CN"/>
              </w:rPr>
              <w:t>金墩山</w:t>
            </w: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等公共空间进行景观提升，打造为</w:t>
            </w: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  <w:lang w:eastAsia="zh-CN"/>
              </w:rPr>
              <w:t>有吸引力、可供打卡拍照的景观节点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。</w:t>
            </w:r>
          </w:p>
        </w:tc>
      </w:tr>
      <w:tr w14:paraId="4D0F84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2B8C8FD6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vAlign w:val="top"/>
          </w:tcPr>
          <w:p w14:paraId="14E1FA7C">
            <w:pPr>
              <w:pStyle w:val="6"/>
              <w:spacing w:before="177" w:line="220" w:lineRule="auto"/>
              <w:ind w:left="83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其他</w:t>
            </w:r>
          </w:p>
        </w:tc>
        <w:tc>
          <w:tcPr>
            <w:tcW w:w="6212" w:type="dxa"/>
            <w:vAlign w:val="center"/>
          </w:tcPr>
          <w:p w14:paraId="4CB7136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</w:tr>
      <w:tr w14:paraId="710C63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31CEBD92">
            <w:pPr>
              <w:spacing w:line="242" w:lineRule="auto"/>
              <w:rPr>
                <w:rFonts w:ascii="Arial"/>
                <w:sz w:val="21"/>
              </w:rPr>
            </w:pPr>
          </w:p>
          <w:p w14:paraId="1E967685">
            <w:pPr>
              <w:spacing w:line="242" w:lineRule="auto"/>
              <w:rPr>
                <w:rFonts w:ascii="Arial"/>
                <w:sz w:val="21"/>
              </w:rPr>
            </w:pPr>
          </w:p>
          <w:p w14:paraId="7A9CD504">
            <w:pPr>
              <w:spacing w:line="242" w:lineRule="auto"/>
              <w:rPr>
                <w:rFonts w:ascii="Arial"/>
                <w:sz w:val="21"/>
              </w:rPr>
            </w:pPr>
          </w:p>
          <w:p w14:paraId="53CCE9F0">
            <w:pPr>
              <w:spacing w:line="242" w:lineRule="auto"/>
              <w:rPr>
                <w:rFonts w:ascii="Arial"/>
                <w:sz w:val="21"/>
              </w:rPr>
            </w:pPr>
          </w:p>
          <w:p w14:paraId="2906476A">
            <w:pPr>
              <w:spacing w:line="243" w:lineRule="auto"/>
              <w:rPr>
                <w:rFonts w:ascii="Arial"/>
                <w:sz w:val="21"/>
              </w:rPr>
            </w:pPr>
          </w:p>
          <w:p w14:paraId="4A7D5C0C">
            <w:pPr>
              <w:spacing w:line="243" w:lineRule="auto"/>
              <w:rPr>
                <w:rFonts w:ascii="Arial"/>
                <w:sz w:val="21"/>
              </w:rPr>
            </w:pPr>
          </w:p>
          <w:p w14:paraId="7DB3F05B">
            <w:pPr>
              <w:spacing w:line="243" w:lineRule="auto"/>
              <w:rPr>
                <w:rFonts w:ascii="Arial"/>
                <w:sz w:val="21"/>
              </w:rPr>
            </w:pPr>
          </w:p>
          <w:p w14:paraId="5F891A91">
            <w:pPr>
              <w:pStyle w:val="6"/>
              <w:spacing w:before="84" w:line="219" w:lineRule="auto"/>
              <w:ind w:left="178"/>
            </w:pPr>
            <w:r>
              <w:rPr>
                <w:b/>
                <w:bCs/>
                <w:spacing w:val="-6"/>
              </w:rPr>
              <w:t>支持</w:t>
            </w:r>
          </w:p>
          <w:p w14:paraId="751C3601">
            <w:pPr>
              <w:pStyle w:val="6"/>
              <w:spacing w:before="61" w:line="219" w:lineRule="auto"/>
              <w:ind w:left="178"/>
            </w:pPr>
            <w:r>
              <w:rPr>
                <w:b/>
                <w:bCs/>
                <w:spacing w:val="-6"/>
              </w:rPr>
              <w:t>保障</w:t>
            </w:r>
          </w:p>
        </w:tc>
        <w:tc>
          <w:tcPr>
            <w:tcW w:w="1863" w:type="dxa"/>
            <w:vAlign w:val="top"/>
          </w:tcPr>
          <w:p w14:paraId="36676132">
            <w:pPr>
              <w:pStyle w:val="6"/>
              <w:spacing w:before="116" w:line="220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预计投入资金</w:t>
            </w:r>
          </w:p>
        </w:tc>
        <w:tc>
          <w:tcPr>
            <w:tcW w:w="6212" w:type="dxa"/>
            <w:vAlign w:val="top"/>
          </w:tcPr>
          <w:p w14:paraId="556119EF">
            <w:pPr>
              <w:pStyle w:val="6"/>
              <w:spacing w:before="106" w:line="219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val="en-US" w:eastAsia="zh-CN"/>
              </w:rPr>
              <w:t>50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万元，期望完成时间</w:t>
            </w:r>
            <w:r>
              <w:rPr>
                <w:rFonts w:hint="eastAsia" w:ascii="仿宋_GB2312" w:hAnsi="仿宋_GB2312" w:eastAsia="仿宋_GB2312" w:cs="仿宋_GB2312"/>
                <w:spacing w:val="35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35"/>
                <w:sz w:val="24"/>
                <w:szCs w:val="24"/>
                <w:u w:val="single" w:color="auto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pacing w:val="35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月</w:t>
            </w:r>
          </w:p>
        </w:tc>
      </w:tr>
      <w:tr w14:paraId="218DA9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66C8337B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vAlign w:val="top"/>
          </w:tcPr>
          <w:p w14:paraId="5ECAEC9A">
            <w:pPr>
              <w:pStyle w:val="6"/>
              <w:spacing w:before="325" w:line="219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协同共创条件</w:t>
            </w:r>
          </w:p>
        </w:tc>
        <w:tc>
          <w:tcPr>
            <w:tcW w:w="6212" w:type="dxa"/>
            <w:vAlign w:val="top"/>
          </w:tcPr>
          <w:p w14:paraId="05674565">
            <w:pPr>
              <w:pStyle w:val="6"/>
              <w:spacing w:before="145" w:line="254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可安排设计师驻地(提供：□住宿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办公空间□餐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食)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□其他支持：</w:t>
            </w:r>
          </w:p>
        </w:tc>
      </w:tr>
      <w:tr w14:paraId="762447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5D6AE990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vAlign w:val="top"/>
          </w:tcPr>
          <w:p w14:paraId="16656988">
            <w:pPr>
              <w:pStyle w:val="6"/>
              <w:spacing w:before="325" w:line="220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土地流转</w:t>
            </w:r>
          </w:p>
        </w:tc>
        <w:tc>
          <w:tcPr>
            <w:tcW w:w="6212" w:type="dxa"/>
            <w:vAlign w:val="top"/>
          </w:tcPr>
          <w:p w14:paraId="61AA87FB">
            <w:pPr>
              <w:pStyle w:val="6"/>
              <w:spacing w:before="173" w:line="244" w:lineRule="auto"/>
              <w:ind w:left="104" w:right="8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塘口下、民兵室等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2座闲置古民居院落均已完成房屋流转，归村集体所有。</w:t>
            </w:r>
          </w:p>
        </w:tc>
      </w:tr>
      <w:tr w14:paraId="4C6A6F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2705DE23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vAlign w:val="top"/>
          </w:tcPr>
          <w:p w14:paraId="2D61BB92">
            <w:pPr>
              <w:pStyle w:val="6"/>
              <w:spacing w:before="173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6212" w:type="dxa"/>
            <w:vAlign w:val="top"/>
          </w:tcPr>
          <w:p w14:paraId="03EECDD9">
            <w:pPr>
              <w:pStyle w:val="6"/>
              <w:spacing w:before="172" w:line="219" w:lineRule="auto"/>
              <w:jc w:val="both"/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  <w:lang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  <w:lang w:val="en-US" w:eastAsia="zh-CN"/>
              </w:rPr>
              <w:t>5口水塘的综合治理可纳入2026年幸福河湖项目，并提供相应资金支持。</w:t>
            </w:r>
          </w:p>
        </w:tc>
      </w:tr>
      <w:tr w14:paraId="5FD8D5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20447B43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vAlign w:val="top"/>
          </w:tcPr>
          <w:p w14:paraId="0641A993">
            <w:pPr>
              <w:pStyle w:val="6"/>
              <w:spacing w:before="313" w:line="220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审批绿色通道</w:t>
            </w:r>
          </w:p>
        </w:tc>
        <w:tc>
          <w:tcPr>
            <w:tcW w:w="6212" w:type="dxa"/>
            <w:vAlign w:val="top"/>
          </w:tcPr>
          <w:p w14:paraId="54AE14FD">
            <w:pPr>
              <w:pStyle w:val="6"/>
              <w:spacing w:before="141" w:line="237" w:lineRule="auto"/>
              <w:ind w:left="104"/>
              <w:jc w:val="center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/</w:t>
            </w:r>
          </w:p>
        </w:tc>
      </w:tr>
      <w:tr w14:paraId="572A1B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08093E3E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vAlign w:val="top"/>
          </w:tcPr>
          <w:p w14:paraId="53CDE29D">
            <w:pPr>
              <w:pStyle w:val="6"/>
              <w:spacing w:before="122" w:line="220" w:lineRule="auto"/>
              <w:ind w:left="83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其他</w:t>
            </w:r>
          </w:p>
        </w:tc>
        <w:tc>
          <w:tcPr>
            <w:tcW w:w="6212" w:type="dxa"/>
            <w:vAlign w:val="center"/>
          </w:tcPr>
          <w:p w14:paraId="1893DA5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</w:tr>
    </w:tbl>
    <w:p w14:paraId="45F6EDAB">
      <w:pPr>
        <w:rPr>
          <w:rFonts w:ascii="Arial"/>
          <w:sz w:val="21"/>
        </w:rPr>
      </w:pPr>
    </w:p>
    <w:sectPr>
      <w:footerReference r:id="rId5" w:type="default"/>
      <w:pgSz w:w="11900" w:h="16820"/>
      <w:pgMar w:top="1429" w:right="1465" w:bottom="587" w:left="1455" w:header="0" w:footer="46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A2EE7A">
    <w:pPr>
      <w:spacing w:line="173" w:lineRule="auto"/>
      <w:ind w:left="4445"/>
      <w:rPr>
        <w:rFonts w:ascii="Times New Roman" w:hAnsi="Times New Roman" w:eastAsia="Times New Roman" w:cs="Times New Roman"/>
        <w:sz w:val="14"/>
        <w:szCs w:val="14"/>
      </w:rPr>
    </w:pPr>
    <w:r>
      <w:rPr>
        <w:rFonts w:ascii="Times New Roman" w:hAnsi="Times New Roman" w:eastAsia="Times New Roman" w:cs="Times New Roman"/>
        <w:sz w:val="14"/>
        <w:szCs w:val="14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9F5475F"/>
    <w:rsid w:val="127F59DA"/>
    <w:rsid w:val="13EA428F"/>
    <w:rsid w:val="1BEE9FD9"/>
    <w:rsid w:val="2DFFDF1B"/>
    <w:rsid w:val="2FC021EB"/>
    <w:rsid w:val="30080133"/>
    <w:rsid w:val="376FB64D"/>
    <w:rsid w:val="3FDFEA52"/>
    <w:rsid w:val="42CB14A1"/>
    <w:rsid w:val="4B2F1158"/>
    <w:rsid w:val="4F7FBAE2"/>
    <w:rsid w:val="4FAF7165"/>
    <w:rsid w:val="5EBD31CA"/>
    <w:rsid w:val="5FFFB74B"/>
    <w:rsid w:val="64BFBCCB"/>
    <w:rsid w:val="6DEF5820"/>
    <w:rsid w:val="6FAF5684"/>
    <w:rsid w:val="73EB4635"/>
    <w:rsid w:val="73F745F5"/>
    <w:rsid w:val="75D5D2FC"/>
    <w:rsid w:val="76BE5F92"/>
    <w:rsid w:val="772E1BA4"/>
    <w:rsid w:val="777E40DB"/>
    <w:rsid w:val="778F7D2D"/>
    <w:rsid w:val="7B76F0D8"/>
    <w:rsid w:val="7DCFE3B1"/>
    <w:rsid w:val="7DF6256A"/>
    <w:rsid w:val="7EBB16E7"/>
    <w:rsid w:val="7F7FD132"/>
    <w:rsid w:val="7FCDDE99"/>
    <w:rsid w:val="7FF6A501"/>
    <w:rsid w:val="7FFB7CFE"/>
    <w:rsid w:val="7FFFB178"/>
    <w:rsid w:val="9DFF98DA"/>
    <w:rsid w:val="A3FD077C"/>
    <w:rsid w:val="ADD6408D"/>
    <w:rsid w:val="B1DCA4A8"/>
    <w:rsid w:val="BBDFCA9F"/>
    <w:rsid w:val="BF069DC0"/>
    <w:rsid w:val="CB9ED1F3"/>
    <w:rsid w:val="CBFD5BE4"/>
    <w:rsid w:val="DA7A0EF8"/>
    <w:rsid w:val="DB0F0E5A"/>
    <w:rsid w:val="DDCF7AB6"/>
    <w:rsid w:val="E5B71BCB"/>
    <w:rsid w:val="EF372BFE"/>
    <w:rsid w:val="EF795E61"/>
    <w:rsid w:val="F5FD7668"/>
    <w:rsid w:val="F67F44C7"/>
    <w:rsid w:val="F7FBBB6D"/>
    <w:rsid w:val="F7FF9D79"/>
    <w:rsid w:val="FAFFC540"/>
    <w:rsid w:val="FBFEAED0"/>
    <w:rsid w:val="FDAFCE9B"/>
    <w:rsid w:val="FDF3AFF4"/>
    <w:rsid w:val="FDFA03D3"/>
    <w:rsid w:val="FEF35B5C"/>
    <w:rsid w:val="FF7FCCFD"/>
    <w:rsid w:val="FFEF1CC4"/>
    <w:rsid w:val="FFF37620"/>
    <w:rsid w:val="FFFFAA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99"/>
    <w:pPr>
      <w:spacing w:after="120"/>
    </w:pPr>
    <w:rPr>
      <w:sz w:val="16"/>
      <w:szCs w:val="16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1289</Words>
  <Characters>1374</Characters>
  <TotalTime>64</TotalTime>
  <ScaleCrop>false</ScaleCrop>
  <LinksUpToDate>false</LinksUpToDate>
  <CharactersWithSpaces>1427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2025-12-19T14:33:00Z</dcterms:created>
  <dc:creator>PC</dc:creator>
  <cp:lastModifiedBy>jelyy</cp:lastModifiedBy>
  <dcterms:modified xsi:type="dcterms:W3CDTF">2026-01-06T07:15:05Z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2025-12-18T14:33:31Z</vt:filetime>
  </property>
  <property fmtid="{D5CDD505-2E9C-101B-9397-08002B2CF9AE}" pid="4" name="UsrData">
    <vt:lpwstr>6943a038bbb487001fc9d42cwl</vt:lpwstr>
  </property>
  <property fmtid="{D5CDD505-2E9C-101B-9397-08002B2CF9AE}" pid="5" name="KSOProductBuildVer">
    <vt:lpwstr>2052-12.1.0.24034</vt:lpwstr>
  </property>
  <property fmtid="{D5CDD505-2E9C-101B-9397-08002B2CF9AE}" pid="6" name="ICV">
    <vt:lpwstr>C7FA665996DC608F9EB3446905A9C9A0_42</vt:lpwstr>
  </property>
  <property fmtid="{D5CDD505-2E9C-101B-9397-08002B2CF9AE}" pid="7" name="KSOTemplateDocerSaveRecord">
    <vt:lpwstr>eyJoZGlkIjoiOTMzNDQ2NmVkYmQ0ODIxMDM0ZTZiZDI1MmQ5MTIyMGMiLCJ1c2VySWQiOiIxMzc1MzkzNTQ5In0=</vt:lpwstr>
  </property>
</Properties>
</file>